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2013/279 vom 24. November 2010</w:t>
      </w:r>
    </w:p>
    <w:p>
      <w:r>
        <w:t>Sg Versicherungsgericht, 2010-11-24, DE</w:t>
      </w:r>
    </w:p>
    <w:p>
      <w:r>
        <w:rPr>
          <w:b/>
        </w:rPr>
        <w:t xml:space="preserve">Quelle: </w:t>
      </w:r>
      <w:r>
        <w:t>https://mcp.opencaselaw.ch/entscheid/sg_publikationen_IV 2013_279</w:t>
      </w:r>
    </w:p>
    <w:p>
      <w:r>
        <w:t>FR: SG_VERSICHERUNGSGERICHT IV 2013/279 du 24 novembre 2010</w:t>
      </w:r>
    </w:p>
    <w:p>
      <w:r>
        <w:t>IT: SG_VERSICHERUNGSGERICHT IV 2013/279 del 24 novembre 2010</w:t>
      </w:r>
    </w:p>
    <w:p>
      <w:pPr>
        <w:pStyle w:val="Heading2"/>
      </w:pPr>
      <w:r>
        <w:t>Regeste</w:t>
      </w:r>
    </w:p>
    <w:p>
      <w:r>
        <w:t>Art. 28 Abs. 2 IVG. Rentenanspruch. Würdigung Gerichtsgutachten. Einkommensvergleich. Tabellenlohnabzug von 10%. Anspruch auf halbe Rente (Entscheid des Versicherungsgerichts des Kantons St. Gallen vom 24. März 2016, IV 2013/279).</w:t>
      </w:r>
    </w:p>
    <w:p>
      <w:pPr>
        <w:pStyle w:val="Heading2"/>
      </w:pPr>
      <w:r>
        <w:t>Erwägungen</w:t>
      </w:r>
    </w:p>
    <w:p>
      <w:r>
        <w:rPr>
          <w:b/>
        </w:rPr>
        <w:t>E. 1</w:t>
      </w:r>
    </w:p>
    <w:p>
      <w:r>
        <w:t>Zwischen den Parteien umstritten und nachfolgend zu prüfen ist der Rentenanspruch der Beschwerdeführerin.</w:t>
      </w:r>
    </w:p>
    <w:p>
      <w:r>
        <w:rPr>
          <w:b/>
        </w:rPr>
        <w:t>E. 2.1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w:t>
      </w:r>
    </w:p>
    <w:p>
      <w:r>
        <w:rPr>
          <w:b/>
        </w:rPr>
        <w:t>E. 2.4</w:t>
      </w:r>
    </w:p>
    <w:p>
      <w:r>
        <w:t>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465 E. 4.4 mit Hinweisen).</w:t>
      </w:r>
    </w:p>
    <w:p>
      <w:r>
        <w:rPr>
          <w:b/>
        </w:rPr>
        <w:t>E. 3.1</w:t>
      </w:r>
    </w:p>
    <w:p>
      <w:r>
        <w:t>Das vorliegende Gerichtsgutachten erfüllt die Anforderungen an eine beweiskräftige Expertise. Mängel, welche die Beweiskraft des Gerichtsgutachtens erschüttern, sind weder ersichtlich noch werden solche von den Parteien geltend gemacht.</w:t>
      </w:r>
    </w:p>
    <w:p>
      <w:r>
        <w:rPr>
          <w:b/>
        </w:rPr>
        <w:t>E. 3.2</w:t>
      </w:r>
    </w:p>
    <w:p>
      <w:r>
        <w:t>Gestützt auf das Gerichtsgutachten ist die Beschwerdeführerin in der angestammten Tätigkeit vollständig arbeitsunfähig. In einer optimal angepassten Tätigkeit liegt eine Arbeitsfähigkeit von 50% vor. Dabei handelt es sich um eine muskuloskelettär leicht belastende Wechseltätigkeit, die im Sitzen und Stehen ausgeübt werden kann mit der Möglichkeit zu selbstbestimmten Positionswechseln und kurzen Entlastungspausen. Tätigkeiten mit signifikanter Vibrations- oder Erschütterungsexposition und regelmässigem Tragen von Lasten &gt; 10 kg müssen vermieden werden. Des Weiteren sind repetitive inklinierende, reklinierende und rotierende Bewegungen im Lenden- und Brustwirbelbereich sowie Überkopfarbeiten nicht möglich. Die zu verrichtenden Arbeitstätigkeiten sollten dabei einfach strukturiert sein und keine hohen Anforderungen an die Konzentration beinhalten, aufgrund der zur Schmerzmodulation erforderlichen Polypharmakotherapie. Gemäss dem Gerichtsgutachten kann die bleibende volle Arbeitsunfähigkeit für die bisherige Tätigkeit mit Datum vom 24. November 2009 (dem Beginn der 100%igen Arbeitsunfähigkeit vor der ersten Rückenoperation vom 15. Dezember 2009) als gesichert angenommen werden. Für eine Verweistätigkeit könne die Beurteilung des IME-Gutachtens herangezogen werden. Diese habe ein halbes Jahr nach der Zweitoperation (15. März 2010) stattgefunden. Seither sei die Situation praktisch unverändert, wie auch bei der Neubeurteilung durch die IME am 12. Mai 2011 nochmals bestätigt worden sei. Im IME-Gutachten wird festgehalten, dass nach Durchführung der empfohlenen therapeutischen Massnahmen, spätestens in zwei Monaten eine mindestens 50%ige Arbeitsfähigkeit in einer ideal angepassten Tätigkeit möglich sein sollte (IV-act. 59-37). Auch die Beurteilung von Prof. Dr. med. G.___ wird von den Gerichtsexperten geteilt (act. G 15, S. 8 ff.).</w:t>
      </w:r>
    </w:p>
    <w:p>
      <w:r>
        <w:rPr>
          <w:b/>
        </w:rPr>
        <w:t>E. 3.3</w:t>
      </w:r>
    </w:p>
    <w:p>
      <w:r>
        <w:t>Demgegenüber könne auf die Schlussfolgerungen des ABI-Gutachtens nicht abgestellt werden (act. G 15, S. 8 ff.). Die Einschätzung durch den Orthopäden sei nicht nachvollziehbar und angesichts der zweimaligen Rückenoperation mit failed back surgery und der chronischen Schmerzen mit nachvollziehbarem organischen Kern (ausgeprägte degenerative Veränderungen sowohl im Bereich der HWS wie der LWS, intermittierendes sensibles radikuläres Reizsyndrom L5 links und mögliches intermittierendes radikuläres sensibles Reizsyndrom C6 rechts) nicht begründbar (act. G 15, S. 10 f.).</w:t>
      </w:r>
    </w:p>
    <w:p>
      <w:r>
        <w:rPr>
          <w:b/>
        </w:rPr>
        <w:t>E. 3.4</w:t>
      </w:r>
    </w:p>
    <w:p>
      <w:r>
        <w:t>Zusammenfassend ist somit in der angestammten Tätigkeit von einer 100%igen Arbeitsunfähigkeit ab 24. November 2009 auszugehen. In einer adaptierten Tätigkeit ist ab Mitte Dezember 2010 von einer Arbeitsfähigkeit von 50% auszugehen.</w:t>
      </w:r>
    </w:p>
    <w:p>
      <w:r>
        <w:rPr>
          <w:b/>
        </w:rPr>
        <w:t>E. 4.1</w:t>
      </w:r>
    </w:p>
    <w:p>
      <w:r>
        <w:t>Umstritten ist, ob sich das verbliebene Leistungsvermögen der Beschwerdeführerin auf dem in Frage kommenden ausgeglichenen Arbeitsmarkt noch wirtschaftlich verwerten lässt. Die Beschwerdeführerin macht in der Beschwerde vom 24. Juni 2013 geltend, dass sie 54-jährig und seit 2009 nicht mehr arbeitstätig sei. Sie könne praktisch kein Deutsch; zudem habe sie keinerlei Berufsausbildung und könne nur Hilfsarbeiten ausführen. Aufgrund ihrer gesundheitlichen Einschränkungen könne sie nur leichte Arbeiten verrichten; diese allerdings auch nur, wenn sie ihre Körperhaltung regelmässig wechseln könne. Auf dem freien Arbeitsmarkt sei keine solche Arbeit erhältlich (act. G 1, S. 6).</w:t>
      </w:r>
    </w:p>
    <w:p>
      <w:r>
        <w:rPr>
          <w:b/>
        </w:rPr>
        <w:t>E. 4.2</w:t>
      </w:r>
    </w:p>
    <w:p>
      <w:r>
        <w:t>Die wirtschaftliche Verwertbarkeit der noch zumutbaren Restarbeitsfähigkeit auf dem als ausgeglichen gedachten Arbeitsmarkt bedeutet die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vgl. auch Urteil des Eidgenössischen Versicherungsgerichts [EVG; seit 1. Januar 2007: Sozialrechtliche Abteilung des Bundesgerichts] vom 10. März 2003, I 617/02, E. 3.1 mit Hinweisen).</w:t>
      </w:r>
    </w:p>
    <w:p>
      <w:r>
        <w:rPr>
          <w:b/>
        </w:rPr>
        <w:t>E. 4.3</w:t>
      </w:r>
    </w:p>
    <w:p>
      <w:r>
        <w:t>Das Alter der Beschwerdeführerin steht einer Verwertbarkeit der zumutbaren Restarbeitsfähigkeit nicht entgegen (vgl. Urteil des Bundesgerichts vom 28. Mai 2009, 9C_918/2008 E. 4.2.2, mit Hinweisen). Was den Umstand anbelangt, dass die Beschwerdeführerin praktisch kein Deutsch könne und keinerlei Berufsausbildung habe, gilt es zu beachten, dass das Fehlen ausreichender Deutschkenntnisse auf der Stufe Hilfsarbeit sehr häufig vorkommt. Die geringen Anforderungen an die verbale Kommunikation, die Hilfsarbeiten stellen, können in aller Regel durch sprachkundige Vorgesetzte oder durch die Übersetzerdienste von Arbeitskollegen oder Arbeitskolleginnen erfüllt werden. Eine lange Abwesenheit vom Arbeitsmarkt steht der Aufnahme einer Hilfsarbeitertätigkeit ebenfalls nicht entgegen, da Hilfsarbeiten definitionsgemäss keine Berufskenntnisse voraussetzen, die über eine kurze Einarbeitung am konkreten Arbeitsplatz hinausgehen. Auch die qualitativen Einschränkungen bezüglich einer adaptierten Tätigkeit (vgl. E. 3.2) begründen für sich noch keine Unverwertbarkeit der zumutbaren Restarbeitsfähigkeit.</w:t>
      </w:r>
    </w:p>
    <w:p>
      <w:r>
        <w:rPr>
          <w:b/>
        </w:rPr>
        <w:t>E. 5.1</w:t>
      </w:r>
    </w:p>
    <w:p>
      <w:r>
        <w:t>Gemäss Art. 29 Abs. 1 IVG entsteht der Rentenanspruch frühestens nach Ablauf von sechs Monaten nach der Geltendmachung des Leistungsanspruchs. Die Beschwerdeführerin meldete sich am 24. November 2010 zum Bezug von Leistungen bei der IV-Stelle an (IV-act. 1), somit ist ein Rentenanspruch frühestens per 1. Mai 2011 entstanden. Zu diesem Zeitpunkt war auch das Wartejahr gemäss Art. 28 Abs. 1 lit. b IVG, welches mit dem Eintritt der 100%igen Arbeitsunfähigkeit in der angestammten Tätigkeit ab 24. November 2009 ausgelöst wurde (act. G 15, S. 9), erfüllt.</w:t>
      </w:r>
    </w:p>
    <w:p>
      <w:r>
        <w:rPr>
          <w:b/>
        </w:rPr>
        <w:t>E. 5.2</w:t>
      </w:r>
    </w:p>
    <w:p>
      <w:r>
        <w:t>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w:t>
      </w:r>
    </w:p>
    <w:p>
      <w:r>
        <w:rPr>
          <w:b/>
        </w:rPr>
        <w:t>E. 5.3</w:t>
      </w:r>
    </w:p>
    <w:p>
      <w:r>
        <w:t>Die Beschwerdegegnerin stützt sich bei der Bestimmung des Valideneinkommens der Beschwerdeführerin auf die LSE-Tabellenwerte (IV-act. 63-2 und 69-2). Gemäss den Angaben der letzten Arbeitgeberin der Beschwerdeführerin hätte diese im Jahr 2010 monatlich Fr. 4‘270.-- verdient (IV-act. 15-3). Aus den Buchungsblättern der Arbeitgeberin geht zudem hervor, dass dieser jeweils ein 13. Monatslohn (Gratifikation) bezahlt wurde (IV-act. 15-10 ff.). Daraus ergibt sich ein Valideneinkommen von Fr. 55‘510.-- bzw. angepasst an die Nominallohnentwicklung für das Jahr 2011 (Index 2010: 2‘579, 2011: 2‘604) von Fr. 56‘048.--. Weshalb anstatt des bei B.___ erzielbaren Einkommens die LSE-Tabellenwerte herangezogen wurden, ist nicht nachvollziehbar.</w:t>
      </w:r>
    </w:p>
    <w:p>
      <w:r>
        <w:rPr>
          <w:b/>
        </w:rPr>
        <w:t>E. 5.4</w:t>
      </w:r>
    </w:p>
    <w:p>
      <w:r>
        <w:t>Bezüglich des Invalideneinkommens ist das Heranziehen der LSE-Tabellenwerte und das Abstellen auf das Anforderungsniveau 4, Frauen, für das Jahr 2011 (Fr. 53‘367.--) nicht zu beanstanden. Es bleibt jedoch zu prüfen, ob ein Tabellenlohnabzug vorzunehmen ist.</w:t>
      </w:r>
    </w:p>
    <w:p>
      <w:r>
        <w:rPr>
          <w:b/>
        </w:rPr>
        <w:t>E. 5.5</w:t>
      </w:r>
    </w:p>
    <w:p>
      <w:r>
        <w:t>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w:t>
      </w:r>
    </w:p>
    <w:p>
      <w:r>
        <w:rPr>
          <w:b/>
        </w:rPr>
        <w:t>E. 5.6</w:t>
      </w:r>
    </w:p>
    <w:p>
      <w:r>
        <w:t>Die Rechtsprechung gewährt insbesondere dann einen Abzug auf dem Invalideneinkommen, wenn eine versicherte Person selbst im Rahmen körperlich leichter Hilfsarbeitertätigkeit in ihrer Leistungsfähigkeit eingeschränkt ist (BGE 126 V 75 E. 5a/bb).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30. März 2009, 9C_72/2009, E. 3.4). Vorliegend sind der Beschwerdeführerin muskuloskelettär leicht belastende Wechseltätigkeiten, die im Sitzen und Stehen ausgeübt werden können mit der Möglichkeit zu selbstbestimmten Positionswechseln und kurzen Entlastungspausen zumutbar. Tätigkeiten mit signifikanter Vibrations- oder Erschütterungsexposition und regelmässigen Tragen von Lasten &gt; 10 kg müssten vermieden werden. Des Weiteren seien repetitive inklinierende, reklinierende und rotierende Bewegungen im Lenden- und Brustwirbelbereich sowie Überkopfarbeiten nicht möglich. Die zu verrichtenden Arbeitstätigkeiten sollten dabei einfach strukturiert sein und keine hohen Anforderungen an die Konzentration beinhalten, aufgrund der zur Schmerzmodulation erforderlichen Polypharmakotherapie (act. G 15, S. 9). Somit liegen selbst bei leichten Tätigkeiten wesentliche Einschränkungen vor, welche beim Tabellenlohnabzug zu berücksichtigen sind.</w:t>
      </w:r>
    </w:p>
    <w:p>
      <w:r>
        <w:rPr>
          <w:b/>
        </w:rPr>
        <w:t>E. 5.7</w:t>
      </w:r>
    </w:p>
    <w:p>
      <w:r>
        <w:t>Dem Alter ist bei einer verbleibenden Aktivitätsdauer von ca. 10 Jahren höchstens ein geringfügiges Gewicht beizumessen. Nicht angemessen erscheint es, die mangelnden Deutschkenntnisse als zusätzlichen Abzugsgrund einzubeziehen, da diese, sowie die fehlende Berufsausbildung, mit der Einstufung auf das Anforderungsniveau 4 im Rahmen der LSE bereits berücksichtigt sind. In dieser Kategorie werden viele Fremdsprachige erfasst. Zudem stellen leichte Hilfsarbeiten keine grossen Anforderungen an die sprachliche Kommunikation. Es ist davon auszugehen, dass die Beschwerdeführerin aufgrund ihrer bisherigen beruflichen Erfahrung in der Schweiz für solche Tätigkeiten über ausreichende Deutschkenntnisse verfügt.</w:t>
      </w:r>
    </w:p>
    <w:p>
      <w:r>
        <w:rPr>
          <w:b/>
        </w:rPr>
        <w:t>E. 5.8</w:t>
      </w:r>
    </w:p>
    <w:p>
      <w:r>
        <w:t>Zusammenfassend erscheint vorliegend ein Tabellenlohnabzug von 10% als angemessen. Damit beträgt das Invalideneinkommen bei einer Arbeitsfähigkeit von 50% Fr. 24‘015.-- (Fr. 53‘367.-- x 0.5 x 0.9).</w:t>
      </w:r>
    </w:p>
    <w:p>
      <w:r>
        <w:rPr>
          <w:b/>
        </w:rPr>
        <w:t>E. 5.9</w:t>
      </w:r>
    </w:p>
    <w:p>
      <w:r>
        <w:t>Unter Berücksichtigung eines Valideneinkommens von Fr. 56‘048.-- und eines Invalideneinkommens von Fr. 24‘015.-- resultiert eine Erwerbseinbusse von Fr. 32‘033.-- (Fr. 56‘048.-- – Fr. 24‘015.--) bzw. ein rentenbegründender Invaliditätsgrad von gerundet 57% (Fr. 32‘033.-- / Fr. 56‘048.-- x 100). Die Beschwerdeführerin hat damit Anspruch auf eine halbe Invalidenrente.</w:t>
      </w:r>
    </w:p>
    <w:p>
      <w:r>
        <w:rPr>
          <w:b/>
        </w:rPr>
        <w:t>E. 6.1</w:t>
      </w:r>
    </w:p>
    <w:p>
      <w:r>
        <w:t>Nach dem Gesagten ist in Gutheissung der Beschwerde die Verfügung vom 22. Mai 2013 aufzuheben und der Beschwerdeführerin mit Wirkung ab 1. Mai 2011 eine halbe Invalidenrente zuzusprechen. Zur Festsetzung der Rentenhöhe ist die Sache an die Beschwerdegegnerin zurückzuweisen.</w:t>
      </w:r>
    </w:p>
    <w:p>
      <w:r>
        <w:rPr>
          <w:b/>
        </w:rPr>
        <w:t>E. 6.2</w:t>
      </w:r>
    </w:p>
    <w:p>
      <w:r>
        <w:t>Das Beschwerdeverfahren ist kostenpflichtig. Die Kosten werden nach dem Verfahrensaufwand und unabhängig vom Streitwert im Rahmen von Fr. 200.-- bis Fr. 1‘000.-- festgelegt (Art. 69 Abs. 1 bis IVG). Aufgrund der Einholung eines Gerichtsgutachtens und des damit verbundenen Zusatzaufwands erscheint eine Gerichtsgebühr von Fr. 1‘000.-- in der vorliegend zu beurteilenden Angelegenheit als angemessen. Dem Ausgang des Verfahrens entsprechend ist sie vollumfänglich der Beschwerdegegnerin aufzuerlegen.</w:t>
      </w:r>
    </w:p>
    <w:p>
      <w:r>
        <w:rPr>
          <w:b/>
        </w:rPr>
        <w:t>E. 6.3</w:t>
      </w:r>
    </w:p>
    <w:p>
      <w:r>
        <w:t>Die Kosten des Gerichtsgutachtens von Fr. 11‘306.55 (act. G 16) hat die Beschwerdegegnerin zu tragen (BGE 137 V 210 E. 4.4.2).</w:t>
      </w:r>
    </w:p>
    <w:p>
      <w:r>
        <w:rPr>
          <w:b/>
        </w:rPr>
        <w:t>E. 6.4</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1'000.-bis Fr. 12'000.--. Der Rechtsvertreter der Beschwerdeführerin hat keine Kostennote eingereicht. Im hier zu beurteilenden Fall erscheint unter Berücksichtigung des durch die Einholung eines Gerichtsgutachtens entstandenen Mehraufwands eine pauschale Parteientschädigung von Fr. 4‘500.-- (inklusive Barauslagen und Mehrwertsteuer) als angemessen. Damit erübrigt sich die Festlegung eines Honorars aus unentgeltlicher Rechtsverbeiständung. Entscheid im Zirkulationsverfahren gemäss Art. 39 VRP 1.  In Gutheissung der Beschwerde wird die Verfügung vom 22. Mai 2013 aufgehoben und der Beschwerdeführerin mit Wirkung ab 1. Mai 2011 eine halbe Rente zugesprochen. Zur Festsetzung der Rentenhöhe wird die Sache an die Beschwerdegegnerin zurückgewiesen. 2.  Die Beschwerdegegnerin hat eine Gerichtsgebühr von Fr. 1‘000.-- zu bezahlen. 3.  Die Beschwerdegegnerin hat die Kosten des Gerichtsgutachtens von Fr. 11‘306.55 zu bezahlen. 4.  Die Beschwerdegegnerin hat der Beschwerdeführerin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